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7D" w:rsidRPr="006A77CF" w:rsidRDefault="0013687D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Pr="00EB0491">
        <w:rPr>
          <w:rFonts w:eastAsia="Malgun Gothic" w:hint="eastAsia"/>
          <w:b/>
          <w:noProof/>
          <w:sz w:val="24"/>
          <w:lang w:eastAsia="ko-KR"/>
        </w:rPr>
        <w:t>8</w:t>
      </w:r>
      <w:r w:rsidR="00224CA2">
        <w:rPr>
          <w:rFonts w:eastAsia="Malgun Gothic" w:hint="eastAsia"/>
          <w:b/>
          <w:noProof/>
          <w:sz w:val="24"/>
          <w:lang w:eastAsia="ko-KR"/>
        </w:rPr>
        <w:t>9</w:t>
      </w:r>
      <w:r w:rsidR="001B4C03">
        <w:rPr>
          <w:rFonts w:eastAsia="Malgun Gothic"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="00D97798" w:rsidRPr="00D97798">
        <w:rPr>
          <w:b/>
          <w:i/>
          <w:noProof/>
          <w:sz w:val="28"/>
        </w:rPr>
        <w:t>R2-151650</w:t>
      </w:r>
    </w:p>
    <w:p w:rsidR="0013687D" w:rsidRPr="006A77CF" w:rsidRDefault="001B4C03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 w:hint="eastAsia"/>
          <w:b/>
          <w:noProof/>
          <w:sz w:val="24"/>
          <w:lang w:eastAsia="ko-KR"/>
        </w:rPr>
        <w:t xml:space="preserve">Bratislava, Slovakia, 20 April </w:t>
      </w:r>
      <w:r>
        <w:rPr>
          <w:rFonts w:eastAsia="Malgun Gothic"/>
          <w:b/>
          <w:noProof/>
          <w:sz w:val="24"/>
          <w:lang w:eastAsia="ko-KR"/>
        </w:rPr>
        <w:t>–</w:t>
      </w:r>
      <w:r>
        <w:rPr>
          <w:rFonts w:eastAsia="Malgun Gothic" w:hint="eastAsia"/>
          <w:b/>
          <w:noProof/>
          <w:sz w:val="24"/>
          <w:lang w:eastAsia="ko-KR"/>
        </w:rPr>
        <w:t xml:space="preserve"> 24 April,</w:t>
      </w:r>
      <w:r w:rsidR="0013687D">
        <w:rPr>
          <w:rFonts w:hint="eastAsia"/>
          <w:b/>
          <w:noProof/>
          <w:sz w:val="24"/>
          <w:lang w:eastAsia="ko-KR"/>
        </w:rPr>
        <w:t xml:space="preserve">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 w:rsidR="00224CA2"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Malgun Gothic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7.2.</w:t>
      </w:r>
      <w:r w:rsidR="00C81591">
        <w:rPr>
          <w:rFonts w:ascii="Arial" w:hAnsi="Arial" w:cs="Arial"/>
          <w:b/>
          <w:noProof/>
          <w:sz w:val="24"/>
          <w:szCs w:val="28"/>
          <w:lang w:val="en-US" w:eastAsia="ko-KR"/>
        </w:rPr>
        <w:t>3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(</w:t>
      </w:r>
      <w:r w:rsidR="008C3759"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LTE_CA_enh_b5C-Core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)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LG Electronics Inc.</w:t>
      </w:r>
    </w:p>
    <w:p w:rsidR="00215D97" w:rsidRPr="00B33CE1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63714E">
        <w:rPr>
          <w:rFonts w:ascii="Arial" w:hAnsi="Arial" w:cs="Arial"/>
          <w:b/>
          <w:noProof/>
          <w:sz w:val="24"/>
          <w:szCs w:val="28"/>
          <w:lang w:val="en-US" w:eastAsia="ko-KR"/>
        </w:rPr>
        <w:t>PHR</w:t>
      </w:r>
      <w:r w:rsidR="0063714E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format for eCA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Heading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CA0935" w:rsidRDefault="00890494" w:rsidP="0013687D">
      <w:pPr>
        <w:rPr>
          <w:lang w:eastAsia="ko-KR"/>
        </w:rPr>
      </w:pPr>
      <w:r>
        <w:rPr>
          <w:rFonts w:hint="eastAsia"/>
          <w:lang w:val="en-US" w:eastAsia="ko-KR"/>
        </w:rPr>
        <w:t>In RAN2 #89</w:t>
      </w:r>
      <w:r w:rsidR="00D57676">
        <w:rPr>
          <w:rFonts w:hint="eastAsia"/>
          <w:lang w:val="en-US" w:eastAsia="ko-KR"/>
        </w:rPr>
        <w:t xml:space="preserve"> meeting</w:t>
      </w:r>
      <w:r>
        <w:rPr>
          <w:rFonts w:hint="eastAsia"/>
          <w:lang w:val="en-US" w:eastAsia="ko-KR"/>
        </w:rPr>
        <w:t xml:space="preserve">, RAN2 started to discuss </w:t>
      </w:r>
      <w:r w:rsidR="00A049F8">
        <w:rPr>
          <w:rFonts w:hint="eastAsia"/>
          <w:lang w:val="en-US" w:eastAsia="ko-KR"/>
        </w:rPr>
        <w:t xml:space="preserve">Work Item on </w:t>
      </w:r>
      <w:r w:rsidR="00A049F8">
        <w:t xml:space="preserve">LTE </w:t>
      </w:r>
      <w:r w:rsidR="00A049F8">
        <w:rPr>
          <w:lang w:eastAsia="zh-CN"/>
        </w:rPr>
        <w:t>Carrier Aggregation Enhancement Beyond 5 Carriers</w:t>
      </w:r>
      <w:r w:rsidR="00A049F8">
        <w:rPr>
          <w:rFonts w:hint="eastAsia"/>
          <w:lang w:eastAsia="ko-KR"/>
        </w:rPr>
        <w:t xml:space="preserve"> [RP-142286]. </w:t>
      </w:r>
      <w:r w:rsidR="00CA0935">
        <w:rPr>
          <w:rFonts w:hint="eastAsia"/>
          <w:lang w:eastAsia="ko-KR"/>
        </w:rPr>
        <w:t>Regarding PHR, RA2 has agreed:</w:t>
      </w:r>
    </w:p>
    <w:p w:rsidR="00CA0935" w:rsidRPr="00CA0935" w:rsidRDefault="00CA0935" w:rsidP="00CA0935">
      <w:pPr>
        <w:pStyle w:val="ListParagraph"/>
        <w:numPr>
          <w:ilvl w:val="0"/>
          <w:numId w:val="17"/>
        </w:numPr>
        <w:ind w:leftChars="0"/>
        <w:rPr>
          <w:i/>
          <w:lang w:eastAsia="ko-KR"/>
        </w:rPr>
      </w:pPr>
      <w:r>
        <w:rPr>
          <w:i/>
          <w:lang w:eastAsia="ko-KR"/>
        </w:rPr>
        <w:t>8</w:t>
      </w:r>
      <w:r>
        <w:rPr>
          <w:rFonts w:hint="eastAsia"/>
          <w:i/>
          <w:lang w:eastAsia="ko-KR"/>
        </w:rPr>
        <w:t xml:space="preserve"> </w:t>
      </w:r>
      <w:r w:rsidRPr="00CA0935">
        <w:rPr>
          <w:i/>
          <w:lang w:eastAsia="ko-KR"/>
        </w:rPr>
        <w:t xml:space="preserve">RAN2 assumes that the UE reports a type 2 PHR for all serving cells configured with PUCCH. The MAC CE format is FFS. </w:t>
      </w:r>
    </w:p>
    <w:p w:rsidR="00CA0935" w:rsidRPr="00CA0935" w:rsidRDefault="00CA0935" w:rsidP="00CA0935">
      <w:pPr>
        <w:pStyle w:val="ListParagraph"/>
        <w:numPr>
          <w:ilvl w:val="0"/>
          <w:numId w:val="17"/>
        </w:numPr>
        <w:ind w:leftChars="0"/>
        <w:rPr>
          <w:i/>
          <w:lang w:eastAsia="ko-KR"/>
        </w:rPr>
      </w:pPr>
      <w:r>
        <w:rPr>
          <w:i/>
          <w:lang w:eastAsia="ko-KR"/>
        </w:rPr>
        <w:t>8a</w:t>
      </w:r>
      <w:r>
        <w:rPr>
          <w:rFonts w:hint="eastAsia"/>
          <w:i/>
          <w:lang w:eastAsia="ko-KR"/>
        </w:rPr>
        <w:t xml:space="preserve"> </w:t>
      </w:r>
      <w:r w:rsidRPr="00CA0935">
        <w:rPr>
          <w:i/>
          <w:lang w:eastAsia="ko-KR"/>
        </w:rPr>
        <w:t>For PHR no new triggers are needed.</w:t>
      </w:r>
    </w:p>
    <w:p w:rsidR="00A00E6A" w:rsidRDefault="00CA0935" w:rsidP="00A00E6A">
      <w:pPr>
        <w:rPr>
          <w:lang w:eastAsia="ko-KR"/>
        </w:rPr>
      </w:pPr>
      <w:r>
        <w:rPr>
          <w:rFonts w:hint="eastAsia"/>
          <w:lang w:eastAsia="ko-KR"/>
        </w:rPr>
        <w:t>This contribution discusses PHR format for including type 2 PHR for all PUCCH SCell</w:t>
      </w:r>
      <w:r w:rsidR="00353383">
        <w:rPr>
          <w:rFonts w:hint="eastAsia"/>
          <w:lang w:eastAsia="ko-KR"/>
        </w:rPr>
        <w:t>.</w:t>
      </w:r>
      <w:r w:rsidR="00A00E6A">
        <w:rPr>
          <w:rFonts w:hint="eastAsia"/>
          <w:lang w:eastAsia="ko-KR"/>
        </w:rPr>
        <w:t xml:space="preserve"> </w:t>
      </w:r>
    </w:p>
    <w:p w:rsidR="00B976AD" w:rsidRPr="00CA0935" w:rsidRDefault="00B976AD" w:rsidP="0013687D">
      <w:pPr>
        <w:rPr>
          <w:lang w:eastAsia="ko-KR"/>
        </w:rPr>
      </w:pPr>
    </w:p>
    <w:p w:rsidR="007A012C" w:rsidRDefault="007A012C" w:rsidP="007A012C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8F0C84">
        <w:rPr>
          <w:rFonts w:hint="eastAsia"/>
          <w:lang w:val="en-US" w:eastAsia="ko-KR"/>
        </w:rPr>
        <w:t>Discussion</w:t>
      </w:r>
    </w:p>
    <w:p w:rsidR="00451FC2" w:rsidRDefault="00F9481C" w:rsidP="00F9481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By supporting PUCCH configuration on an SCell, RAN2 agreed to report Type 2 PH of </w:t>
      </w:r>
      <w:r w:rsidR="004B5118">
        <w:rPr>
          <w:rFonts w:hint="eastAsia"/>
          <w:lang w:val="en-US" w:eastAsia="ko-KR"/>
        </w:rPr>
        <w:t xml:space="preserve">all cells with PUCCH </w:t>
      </w:r>
      <w:r>
        <w:rPr>
          <w:rFonts w:hint="eastAsia"/>
          <w:lang w:val="en-US" w:eastAsia="ko-KR"/>
        </w:rPr>
        <w:t xml:space="preserve">to the </w:t>
      </w:r>
      <w:r>
        <w:rPr>
          <w:lang w:val="en-US" w:eastAsia="ko-KR"/>
        </w:rPr>
        <w:t>eNB</w:t>
      </w:r>
      <w:r>
        <w:rPr>
          <w:rFonts w:hint="eastAsia"/>
          <w:lang w:val="en-US" w:eastAsia="ko-KR"/>
        </w:rPr>
        <w:t xml:space="preserve">. </w:t>
      </w:r>
      <w:r w:rsidR="004B5118">
        <w:rPr>
          <w:rFonts w:hint="eastAsia"/>
          <w:lang w:val="en-US" w:eastAsia="ko-KR"/>
        </w:rPr>
        <w:t>As</w:t>
      </w:r>
      <w:r>
        <w:rPr>
          <w:rFonts w:hint="eastAsia"/>
          <w:lang w:val="en-US" w:eastAsia="ko-KR"/>
        </w:rPr>
        <w:t xml:space="preserve"> it is assumed that there would be</w:t>
      </w:r>
      <w:r w:rsidR="00B83DD1">
        <w:rPr>
          <w:rFonts w:hint="eastAsia"/>
          <w:lang w:val="en-US" w:eastAsia="ko-KR"/>
        </w:rPr>
        <w:t xml:space="preserve"> at most</w:t>
      </w:r>
      <w:r>
        <w:rPr>
          <w:rFonts w:hint="eastAsia"/>
          <w:lang w:val="en-US" w:eastAsia="ko-KR"/>
        </w:rPr>
        <w:t xml:space="preserve"> two PUCCH Group</w:t>
      </w:r>
      <w:r w:rsidR="00B83DD1">
        <w:rPr>
          <w:rFonts w:hint="eastAsia"/>
          <w:lang w:val="en-US" w:eastAsia="ko-KR"/>
        </w:rPr>
        <w:t>s for up to 5 CCs</w:t>
      </w:r>
      <w:r w:rsidR="00451FC2">
        <w:rPr>
          <w:rFonts w:hint="eastAsia"/>
          <w:lang w:val="en-US" w:eastAsia="ko-KR"/>
        </w:rPr>
        <w:t xml:space="preserve">, </w:t>
      </w:r>
      <w:r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should include </w:t>
      </w:r>
      <w:r w:rsidR="00916C83">
        <w:rPr>
          <w:rFonts w:hint="eastAsia"/>
          <w:lang w:val="en-US" w:eastAsia="ko-KR"/>
        </w:rPr>
        <w:t xml:space="preserve">at least </w:t>
      </w:r>
      <w:r>
        <w:rPr>
          <w:rFonts w:hint="eastAsia"/>
          <w:lang w:val="en-US" w:eastAsia="ko-KR"/>
        </w:rPr>
        <w:t>two Type 2 PH field</w:t>
      </w:r>
      <w:r w:rsidR="00337FBE">
        <w:rPr>
          <w:rFonts w:hint="eastAsia"/>
          <w:lang w:val="en-US" w:eastAsia="ko-KR"/>
        </w:rPr>
        <w:t>s for PCell and PUCCH SCell</w:t>
      </w:r>
      <w:r w:rsidR="004B5118">
        <w:rPr>
          <w:rFonts w:hint="eastAsia"/>
          <w:lang w:val="en-US" w:eastAsia="ko-KR"/>
        </w:rPr>
        <w:t xml:space="preserve">. </w:t>
      </w:r>
      <w:r w:rsidR="00451FC2">
        <w:rPr>
          <w:rFonts w:hint="eastAsia"/>
          <w:lang w:val="en-US" w:eastAsia="ko-KR"/>
        </w:rPr>
        <w:t xml:space="preserve">Thus, one may think that DC </w:t>
      </w:r>
      <w:r w:rsidR="00451FC2">
        <w:rPr>
          <w:lang w:val="en-US" w:eastAsia="ko-KR"/>
        </w:rPr>
        <w:t>PHR</w:t>
      </w:r>
      <w:r w:rsidR="00451FC2">
        <w:rPr>
          <w:rFonts w:hint="eastAsia"/>
          <w:lang w:val="en-US" w:eastAsia="ko-KR"/>
        </w:rPr>
        <w:t xml:space="preserve"> </w:t>
      </w:r>
      <w:r w:rsidR="00451FC2">
        <w:rPr>
          <w:lang w:val="en-US" w:eastAsia="ko-KR"/>
        </w:rPr>
        <w:t>MAC</w:t>
      </w:r>
      <w:r w:rsidR="00451FC2">
        <w:rPr>
          <w:rFonts w:hint="eastAsia"/>
          <w:lang w:val="en-US" w:eastAsia="ko-KR"/>
        </w:rPr>
        <w:t xml:space="preserve"> CE format can be used.</w:t>
      </w:r>
    </w:p>
    <w:p w:rsidR="00337FBE" w:rsidRDefault="004B5118" w:rsidP="00F9481C">
      <w:pPr>
        <w:rPr>
          <w:lang w:val="en-US" w:eastAsia="ko-KR"/>
        </w:rPr>
      </w:pPr>
      <w:r>
        <w:rPr>
          <w:rFonts w:hint="eastAsia"/>
          <w:lang w:val="en-US" w:eastAsia="ko-KR"/>
        </w:rPr>
        <w:t>However, as the WI [RP-142286] considers configuring up to 32 CCs and more than two PUCCH Groups could be configured in this case, it would be good to design</w:t>
      </w:r>
      <w:r w:rsidR="00451FC2">
        <w:rPr>
          <w:rFonts w:hint="eastAsia"/>
          <w:lang w:val="en-US" w:eastAsia="ko-KR"/>
        </w:rPr>
        <w:t xml:space="preserve"> a new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</w:t>
      </w:r>
      <w:r w:rsidR="00287D14">
        <w:rPr>
          <w:rFonts w:hint="eastAsia"/>
          <w:lang w:val="en-US" w:eastAsia="ko-KR"/>
        </w:rPr>
        <w:t xml:space="preserve">by taking </w:t>
      </w:r>
      <w:r w:rsidR="00287D14" w:rsidRPr="00287D14">
        <w:rPr>
          <w:lang w:val="en-US" w:eastAsia="ko-KR"/>
        </w:rPr>
        <w:t>extensibility</w:t>
      </w:r>
      <w:r w:rsidR="00287D14">
        <w:rPr>
          <w:rFonts w:hint="eastAsia"/>
          <w:lang w:val="en-US" w:eastAsia="ko-KR"/>
        </w:rPr>
        <w:t xml:space="preserve"> into account, i.e., to</w:t>
      </w:r>
      <w:r w:rsidR="009B3A33">
        <w:rPr>
          <w:rFonts w:hint="eastAsia"/>
          <w:lang w:val="en-US" w:eastAsia="ko-KR"/>
        </w:rPr>
        <w:t xml:space="preserve"> include PH </w:t>
      </w:r>
      <w:r w:rsidR="009B3A33">
        <w:rPr>
          <w:lang w:val="en-US" w:eastAsia="ko-KR"/>
        </w:rPr>
        <w:t>information</w:t>
      </w:r>
      <w:r w:rsidR="009B3A33">
        <w:rPr>
          <w:rFonts w:hint="eastAsia"/>
          <w:lang w:val="en-US" w:eastAsia="ko-KR"/>
        </w:rPr>
        <w:t xml:space="preserve"> of up to 32 CCs and include </w:t>
      </w:r>
      <w:r>
        <w:rPr>
          <w:rFonts w:hint="eastAsia"/>
          <w:lang w:val="en-US" w:eastAsia="ko-KR"/>
        </w:rPr>
        <w:t>Type 2 PH of the cells</w:t>
      </w:r>
      <w:r w:rsidR="009B3A33">
        <w:rPr>
          <w:rFonts w:hint="eastAsia"/>
          <w:lang w:val="en-US" w:eastAsia="ko-KR"/>
        </w:rPr>
        <w:t xml:space="preserve"> with PUCCH</w:t>
      </w:r>
      <w:r>
        <w:rPr>
          <w:rFonts w:hint="eastAsia"/>
          <w:lang w:val="en-US" w:eastAsia="ko-KR"/>
        </w:rPr>
        <w:t xml:space="preserve"> depending on </w:t>
      </w:r>
      <w:r w:rsidR="00287D14">
        <w:rPr>
          <w:rFonts w:hint="eastAsia"/>
          <w:lang w:val="en-US" w:eastAsia="ko-KR"/>
        </w:rPr>
        <w:t xml:space="preserve">the number of </w:t>
      </w:r>
      <w:r w:rsidR="009B3A33">
        <w:rPr>
          <w:rFonts w:hint="eastAsia"/>
          <w:lang w:val="en-US" w:eastAsia="ko-KR"/>
        </w:rPr>
        <w:t xml:space="preserve">the </w:t>
      </w:r>
      <w:r w:rsidR="00287D14">
        <w:rPr>
          <w:rFonts w:hint="eastAsia"/>
          <w:lang w:val="en-US" w:eastAsia="ko-KR"/>
        </w:rPr>
        <w:t>cells with PUCCH.</w:t>
      </w:r>
    </w:p>
    <w:p w:rsidR="00176AB4" w:rsidRDefault="008329F7" w:rsidP="00AC1F71">
      <w:pPr>
        <w:rPr>
          <w:lang w:val="en-US" w:eastAsia="ko-KR"/>
        </w:rPr>
      </w:pPr>
      <w:r>
        <w:rPr>
          <w:rFonts w:hint="eastAsia"/>
          <w:lang w:val="en-US" w:eastAsia="ko-KR"/>
        </w:rPr>
        <w:t>There can be two options:</w:t>
      </w:r>
    </w:p>
    <w:p w:rsidR="00DF6978" w:rsidRPr="007C22E6" w:rsidRDefault="008329F7" w:rsidP="008329F7">
      <w:pPr>
        <w:pStyle w:val="ListParagraph"/>
        <w:numPr>
          <w:ilvl w:val="0"/>
          <w:numId w:val="17"/>
        </w:numPr>
        <w:ind w:leftChars="0"/>
        <w:rPr>
          <w:lang w:val="en-US" w:eastAsia="ko-KR"/>
        </w:rPr>
      </w:pPr>
      <w:r w:rsidRPr="007C22E6">
        <w:rPr>
          <w:lang w:val="en-US" w:eastAsia="ko-KR"/>
        </w:rPr>
        <w:t>O</w:t>
      </w:r>
      <w:r w:rsidRPr="007C22E6">
        <w:rPr>
          <w:rFonts w:hint="eastAsia"/>
          <w:lang w:val="en-US" w:eastAsia="ko-KR"/>
        </w:rPr>
        <w:t>ption 1:</w:t>
      </w:r>
      <w:r w:rsidR="00DF6978" w:rsidRPr="007C22E6">
        <w:rPr>
          <w:rFonts w:hint="eastAsia"/>
          <w:lang w:val="en-US" w:eastAsia="ko-KR"/>
        </w:rPr>
        <w:t xml:space="preserve"> After the 4 bytes of Ci field, to</w:t>
      </w:r>
      <w:r w:rsidRPr="007C22E6">
        <w:rPr>
          <w:rFonts w:hint="eastAsia"/>
          <w:lang w:val="en-US" w:eastAsia="ko-KR"/>
        </w:rPr>
        <w:t xml:space="preserve"> </w:t>
      </w:r>
      <w:r w:rsidR="00DF6978" w:rsidRPr="007C22E6">
        <w:rPr>
          <w:lang w:val="en-US" w:eastAsia="ko-KR"/>
        </w:rPr>
        <w:t>include</w:t>
      </w:r>
      <w:r w:rsidR="00DF6978" w:rsidRPr="007C22E6">
        <w:rPr>
          <w:rFonts w:hint="eastAsia"/>
          <w:lang w:val="en-US" w:eastAsia="ko-KR"/>
        </w:rPr>
        <w:t xml:space="preserve"> the octets containing Type 2 PH field and Pcmax,c field for PCell and then include the octets containing Type 2 PH field and the associated Pcmax,c field for each cell with PUCCH in ascending order of ServCellIndex. After including </w:t>
      </w:r>
      <w:r w:rsidR="007C22E6" w:rsidRPr="007C22E6">
        <w:rPr>
          <w:rFonts w:hint="eastAsia"/>
          <w:lang w:val="en-US" w:eastAsia="ko-KR"/>
        </w:rPr>
        <w:t xml:space="preserve">the octets containing </w:t>
      </w:r>
      <w:r w:rsidR="00DF6978" w:rsidRPr="007C22E6">
        <w:rPr>
          <w:rFonts w:hint="eastAsia"/>
          <w:lang w:val="en-US" w:eastAsia="ko-KR"/>
        </w:rPr>
        <w:t xml:space="preserve">Type 2 PH field and </w:t>
      </w:r>
      <w:r w:rsidR="009D180E" w:rsidRPr="007C22E6">
        <w:rPr>
          <w:rFonts w:hint="eastAsia"/>
          <w:lang w:val="en-US" w:eastAsia="ko-KR"/>
        </w:rPr>
        <w:t xml:space="preserve">the associated </w:t>
      </w:r>
      <w:r w:rsidR="00DF6978" w:rsidRPr="007C22E6">
        <w:rPr>
          <w:rFonts w:hint="eastAsia"/>
          <w:lang w:val="en-US" w:eastAsia="ko-KR"/>
        </w:rPr>
        <w:t xml:space="preserve">Pcmax,c field for all cells with PUCCH, </w:t>
      </w:r>
      <w:r w:rsidR="007C22E6" w:rsidRPr="007C22E6">
        <w:rPr>
          <w:rFonts w:hint="eastAsia"/>
          <w:lang w:val="en-US" w:eastAsia="ko-KR"/>
        </w:rPr>
        <w:t xml:space="preserve">the octets containing Type 1 PH field and the associated Pcmax,c field for PCell is included. And after that, the octets containing </w:t>
      </w:r>
      <w:r w:rsidR="00DF6978" w:rsidRPr="007C22E6">
        <w:rPr>
          <w:rFonts w:hint="eastAsia"/>
          <w:lang w:val="en-US" w:eastAsia="ko-KR"/>
        </w:rPr>
        <w:t xml:space="preserve">Type 1 PH field and </w:t>
      </w:r>
      <w:r w:rsidR="009D180E" w:rsidRPr="007C22E6">
        <w:rPr>
          <w:rFonts w:hint="eastAsia"/>
          <w:lang w:val="en-US" w:eastAsia="ko-KR"/>
        </w:rPr>
        <w:t xml:space="preserve">the associated </w:t>
      </w:r>
      <w:r w:rsidR="00DF6978" w:rsidRPr="007C22E6">
        <w:rPr>
          <w:rFonts w:hint="eastAsia"/>
          <w:lang w:val="en-US" w:eastAsia="ko-KR"/>
        </w:rPr>
        <w:t>Pcmax,c field for all cells are included in ascending order of ServCellIndex.</w:t>
      </w:r>
    </w:p>
    <w:p w:rsidR="007C22E6" w:rsidRDefault="009B3A33" w:rsidP="008329F7">
      <w:pPr>
        <w:pStyle w:val="ListParagraph"/>
        <w:numPr>
          <w:ilvl w:val="0"/>
          <w:numId w:val="1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Option 2: </w:t>
      </w:r>
      <w:r w:rsidR="007C22E6" w:rsidRPr="007C22E6">
        <w:rPr>
          <w:rFonts w:hint="eastAsia"/>
          <w:lang w:val="en-US" w:eastAsia="ko-KR"/>
        </w:rPr>
        <w:t xml:space="preserve">After the 4 bytes of Ci field, to </w:t>
      </w:r>
      <w:r w:rsidR="007C22E6" w:rsidRPr="007C22E6">
        <w:rPr>
          <w:lang w:val="en-US" w:eastAsia="ko-KR"/>
        </w:rPr>
        <w:t>include</w:t>
      </w:r>
      <w:r w:rsidR="007C22E6" w:rsidRPr="007C22E6">
        <w:rPr>
          <w:rFonts w:hint="eastAsia"/>
          <w:lang w:val="en-US" w:eastAsia="ko-KR"/>
        </w:rPr>
        <w:t xml:space="preserve"> the octets containing Type 2 PH field and Pcmax,c field for PCell and then include the octets containing Type 1 PH field and the associated Pcmax,c field for</w:t>
      </w:r>
      <w:r w:rsidR="007C22E6">
        <w:rPr>
          <w:rFonts w:hint="eastAsia"/>
          <w:lang w:val="en-US" w:eastAsia="ko-KR"/>
        </w:rPr>
        <w:t xml:space="preserve"> PCell. After including all PH information for PCell, octets containing Type 2 PH field</w:t>
      </w:r>
      <w:r w:rsidR="00D05FB0">
        <w:rPr>
          <w:rFonts w:hint="eastAsia"/>
          <w:lang w:val="en-US" w:eastAsia="ko-KR"/>
        </w:rPr>
        <w:t xml:space="preserve"> (if PUCCH SCell)</w:t>
      </w:r>
      <w:r w:rsidR="007C22E6">
        <w:rPr>
          <w:rFonts w:hint="eastAsia"/>
          <w:lang w:val="en-US" w:eastAsia="ko-KR"/>
        </w:rPr>
        <w:t>, the associated Pcmax,c field</w:t>
      </w:r>
      <w:r w:rsidR="00D05FB0">
        <w:rPr>
          <w:rFonts w:hint="eastAsia"/>
          <w:lang w:val="en-US" w:eastAsia="ko-KR"/>
        </w:rPr>
        <w:t xml:space="preserve"> (if PUCCH SCell)</w:t>
      </w:r>
      <w:r w:rsidR="007C22E6">
        <w:rPr>
          <w:rFonts w:hint="eastAsia"/>
          <w:lang w:val="en-US" w:eastAsia="ko-KR"/>
        </w:rPr>
        <w:t>, Type 1 PH field, and the associated Pcmax,c field of all cells are included in ascending order of ServCellIndex.</w:t>
      </w:r>
    </w:p>
    <w:p w:rsidR="00D05FB0" w:rsidRPr="00D05FB0" w:rsidRDefault="00D05FB0" w:rsidP="00D05F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two options, an example of the new </w:t>
      </w:r>
      <w:r>
        <w:rPr>
          <w:lang w:val="en-US" w:eastAsia="ko-KR"/>
        </w:rPr>
        <w:t>PHR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</w:t>
      </w:r>
      <w:r w:rsidR="009641C2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are presented</w:t>
      </w:r>
      <w:r w:rsidR="009641C2">
        <w:rPr>
          <w:rFonts w:hint="eastAsia"/>
          <w:lang w:val="en-US" w:eastAsia="ko-KR"/>
        </w:rPr>
        <w:t xml:space="preserve"> in the below</w:t>
      </w:r>
      <w:r>
        <w:rPr>
          <w:rFonts w:hint="eastAsia"/>
          <w:lang w:val="en-US" w:eastAsia="ko-KR"/>
        </w:rPr>
        <w:t xml:space="preserve">. Assume that </w:t>
      </w:r>
      <w:r w:rsidR="00932CE4">
        <w:rPr>
          <w:rFonts w:hint="eastAsia"/>
          <w:lang w:val="en-US" w:eastAsia="ko-KR"/>
        </w:rPr>
        <w:t>the</w:t>
      </w:r>
      <w:r>
        <w:rPr>
          <w:rFonts w:hint="eastAsia"/>
          <w:lang w:val="en-US" w:eastAsia="ko-KR"/>
        </w:rPr>
        <w:t xml:space="preserve"> cell with C10 </w:t>
      </w:r>
      <w:r w:rsidR="00B32CAA">
        <w:rPr>
          <w:rFonts w:hint="eastAsia"/>
          <w:lang w:val="en-US" w:eastAsia="ko-KR"/>
        </w:rPr>
        <w:t xml:space="preserve">in addition to PCell </w:t>
      </w:r>
      <w:r>
        <w:rPr>
          <w:rFonts w:hint="eastAsia"/>
          <w:lang w:val="en-US" w:eastAsia="ko-KR"/>
        </w:rPr>
        <w:t>is configured with PUCCH.</w:t>
      </w:r>
    </w:p>
    <w:p w:rsidR="00D05FB0" w:rsidRDefault="00D05FB0" w:rsidP="00D05FB0">
      <w:pPr>
        <w:keepNext/>
        <w:jc w:val="center"/>
      </w:pPr>
      <w:r w:rsidRPr="00D05FB0">
        <w:rPr>
          <w:rFonts w:hint="eastAsia"/>
          <w:noProof/>
          <w:lang w:val="en-US" w:eastAsia="ko-KR"/>
        </w:rPr>
        <w:lastRenderedPageBreak/>
        <w:drawing>
          <wp:inline distT="0" distB="0" distL="0" distR="0">
            <wp:extent cx="3928637" cy="4183039"/>
            <wp:effectExtent l="0" t="0" r="0" b="825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269" cy="4185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FB0">
        <w:rPr>
          <w:rFonts w:hint="eastAsia"/>
        </w:rPr>
        <w:t xml:space="preserve"> </w:t>
      </w:r>
    </w:p>
    <w:p w:rsidR="00176AB4" w:rsidRDefault="00D05FB0" w:rsidP="00D05FB0">
      <w:pPr>
        <w:pStyle w:val="Caption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>. Option 1 (left) and Option 2(right)</w:t>
      </w:r>
    </w:p>
    <w:p w:rsidR="00A625DA" w:rsidRDefault="00A625DA" w:rsidP="00B34A2B">
      <w:pPr>
        <w:rPr>
          <w:lang w:val="en-US" w:eastAsia="ko-KR"/>
        </w:rPr>
      </w:pPr>
    </w:p>
    <w:p w:rsidR="00D05FB0" w:rsidRDefault="00D05FB0" w:rsidP="00B34A2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Option 1 and Option 2 do not make a big </w:t>
      </w:r>
      <w:r>
        <w:rPr>
          <w:lang w:val="en-US" w:eastAsia="ko-KR"/>
        </w:rPr>
        <w:t>difference</w:t>
      </w:r>
      <w:r>
        <w:rPr>
          <w:rFonts w:hint="eastAsia"/>
          <w:lang w:val="en-US" w:eastAsia="ko-KR"/>
        </w:rPr>
        <w:t xml:space="preserve">. Given that in DC </w:t>
      </w:r>
      <w:r>
        <w:rPr>
          <w:lang w:val="en-US" w:eastAsia="ko-KR"/>
        </w:rPr>
        <w:t>PHR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Type 2 PH for PCell and PSCell are included first, Option 1 is preferred to have a consistency through the specification. </w:t>
      </w:r>
    </w:p>
    <w:p w:rsidR="00932CE4" w:rsidRDefault="00D05FB0" w:rsidP="00B34A2B">
      <w:pPr>
        <w:rPr>
          <w:b/>
          <w:lang w:val="en-US" w:eastAsia="ko-KR"/>
        </w:rPr>
      </w:pPr>
      <w:r w:rsidRPr="00932CE4">
        <w:rPr>
          <w:rFonts w:hint="eastAsia"/>
          <w:b/>
          <w:lang w:val="en-US" w:eastAsia="ko-KR"/>
        </w:rPr>
        <w:t>Proposal</w:t>
      </w:r>
      <w:r w:rsidR="00932CE4" w:rsidRPr="00932CE4">
        <w:rPr>
          <w:rFonts w:hint="eastAsia"/>
          <w:b/>
          <w:lang w:val="en-US" w:eastAsia="ko-KR"/>
        </w:rPr>
        <w:t xml:space="preserve"> </w:t>
      </w:r>
      <w:r w:rsidRPr="00932CE4">
        <w:rPr>
          <w:rFonts w:hint="eastAsia"/>
          <w:b/>
          <w:lang w:val="en-US" w:eastAsia="ko-KR"/>
        </w:rPr>
        <w:t xml:space="preserve">: </w:t>
      </w:r>
      <w:r w:rsidR="00932CE4">
        <w:rPr>
          <w:rFonts w:hint="eastAsia"/>
          <w:b/>
          <w:lang w:val="en-US" w:eastAsia="ko-KR"/>
        </w:rPr>
        <w:t>Introduce a</w:t>
      </w:r>
      <w:r w:rsidR="00932CE4" w:rsidRPr="00932CE4">
        <w:rPr>
          <w:rFonts w:hint="eastAsia"/>
          <w:b/>
          <w:lang w:val="en-US" w:eastAsia="ko-KR"/>
        </w:rPr>
        <w:t xml:space="preserve"> new </w:t>
      </w:r>
      <w:r w:rsidR="00932CE4" w:rsidRPr="00932CE4">
        <w:rPr>
          <w:b/>
          <w:lang w:val="en-US" w:eastAsia="ko-KR"/>
        </w:rPr>
        <w:t>PHR</w:t>
      </w:r>
      <w:r w:rsidR="00932CE4" w:rsidRPr="00932CE4">
        <w:rPr>
          <w:rFonts w:hint="eastAsia"/>
          <w:b/>
          <w:lang w:val="en-US" w:eastAsia="ko-KR"/>
        </w:rPr>
        <w:t xml:space="preserve"> </w:t>
      </w:r>
      <w:r w:rsidR="00932CE4" w:rsidRPr="00932CE4">
        <w:rPr>
          <w:b/>
          <w:lang w:val="en-US" w:eastAsia="ko-KR"/>
        </w:rPr>
        <w:t>MAC</w:t>
      </w:r>
      <w:r w:rsidR="00932CE4" w:rsidRPr="00932CE4">
        <w:rPr>
          <w:rFonts w:hint="eastAsia"/>
          <w:b/>
          <w:lang w:val="en-US" w:eastAsia="ko-KR"/>
        </w:rPr>
        <w:t xml:space="preserve"> CE for eCA</w:t>
      </w:r>
      <w:r w:rsidR="00932CE4">
        <w:rPr>
          <w:rFonts w:hint="eastAsia"/>
          <w:b/>
          <w:lang w:val="en-US" w:eastAsia="ko-KR"/>
        </w:rPr>
        <w:t xml:space="preserve"> based on Option 1.</w:t>
      </w:r>
    </w:p>
    <w:p w:rsidR="00932CE4" w:rsidRPr="00932CE4" w:rsidRDefault="00932CE4" w:rsidP="00B34A2B">
      <w:pPr>
        <w:rPr>
          <w:b/>
          <w:lang w:val="en-US" w:eastAsia="ko-KR"/>
        </w:rPr>
      </w:pPr>
    </w:p>
    <w:p w:rsidR="002D6D92" w:rsidRDefault="00585DEC" w:rsidP="002D6D92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152D2D" w:rsidRDefault="00220055" w:rsidP="00152D2D">
      <w:pPr>
        <w:rPr>
          <w:lang w:val="en-US" w:eastAsia="ko-KR"/>
        </w:rPr>
      </w:pPr>
      <w:r w:rsidRPr="00220055">
        <w:rPr>
          <w:rFonts w:hint="eastAsia"/>
          <w:lang w:val="en-US" w:eastAsia="ko-KR"/>
        </w:rPr>
        <w:t xml:space="preserve">In this contribution, we </w:t>
      </w:r>
      <w:r w:rsidRPr="00220055">
        <w:rPr>
          <w:lang w:val="en-US" w:eastAsia="ko-KR"/>
        </w:rPr>
        <w:t>discussed</w:t>
      </w:r>
      <w:r w:rsidRPr="00220055">
        <w:rPr>
          <w:rFonts w:hint="eastAsia"/>
          <w:lang w:val="en-US" w:eastAsia="ko-KR"/>
        </w:rPr>
        <w:t xml:space="preserve"> </w:t>
      </w:r>
      <w:r w:rsidR="00EF6CAC">
        <w:rPr>
          <w:lang w:val="en-US" w:eastAsia="ko-KR"/>
        </w:rPr>
        <w:t>PHR</w:t>
      </w:r>
      <w:r w:rsidR="00EF6CAC">
        <w:rPr>
          <w:rFonts w:hint="eastAsia"/>
          <w:lang w:val="en-US" w:eastAsia="ko-KR"/>
        </w:rPr>
        <w:t xml:space="preserve"> format for eCA</w:t>
      </w:r>
      <w:r>
        <w:rPr>
          <w:rFonts w:hint="eastAsia"/>
          <w:lang w:val="en-US" w:eastAsia="ko-KR"/>
        </w:rPr>
        <w:t xml:space="preserve"> and proposed:</w:t>
      </w:r>
    </w:p>
    <w:p w:rsidR="00932CE4" w:rsidRDefault="00932CE4" w:rsidP="00932CE4">
      <w:pPr>
        <w:rPr>
          <w:b/>
          <w:lang w:val="en-US" w:eastAsia="ko-KR"/>
        </w:rPr>
      </w:pPr>
      <w:r w:rsidRPr="00932CE4">
        <w:rPr>
          <w:rFonts w:hint="eastAsia"/>
          <w:b/>
          <w:lang w:val="en-US" w:eastAsia="ko-KR"/>
        </w:rPr>
        <w:t xml:space="preserve">Proposal : </w:t>
      </w:r>
      <w:r>
        <w:rPr>
          <w:rFonts w:hint="eastAsia"/>
          <w:b/>
          <w:lang w:val="en-US" w:eastAsia="ko-KR"/>
        </w:rPr>
        <w:t>Introduce a</w:t>
      </w:r>
      <w:r w:rsidRPr="00932CE4">
        <w:rPr>
          <w:rFonts w:hint="eastAsia"/>
          <w:b/>
          <w:lang w:val="en-US" w:eastAsia="ko-KR"/>
        </w:rPr>
        <w:t xml:space="preserve"> new </w:t>
      </w:r>
      <w:r w:rsidRPr="00932CE4">
        <w:rPr>
          <w:b/>
          <w:lang w:val="en-US" w:eastAsia="ko-KR"/>
        </w:rPr>
        <w:t>PHR</w:t>
      </w:r>
      <w:r w:rsidRPr="00932CE4">
        <w:rPr>
          <w:rFonts w:hint="eastAsia"/>
          <w:b/>
          <w:lang w:val="en-US" w:eastAsia="ko-KR"/>
        </w:rPr>
        <w:t xml:space="preserve"> </w:t>
      </w:r>
      <w:r w:rsidRPr="00932CE4">
        <w:rPr>
          <w:b/>
          <w:lang w:val="en-US" w:eastAsia="ko-KR"/>
        </w:rPr>
        <w:t>MAC</w:t>
      </w:r>
      <w:r w:rsidRPr="00932CE4">
        <w:rPr>
          <w:rFonts w:hint="eastAsia"/>
          <w:b/>
          <w:lang w:val="en-US" w:eastAsia="ko-KR"/>
        </w:rPr>
        <w:t xml:space="preserve"> CE for eCA</w:t>
      </w:r>
      <w:r>
        <w:rPr>
          <w:rFonts w:hint="eastAsia"/>
          <w:b/>
          <w:lang w:val="en-US" w:eastAsia="ko-KR"/>
        </w:rPr>
        <w:t xml:space="preserve"> based on Option 1.</w:t>
      </w:r>
    </w:p>
    <w:p w:rsidR="00220055" w:rsidRPr="00932CE4" w:rsidRDefault="00220055" w:rsidP="00152D2D">
      <w:pPr>
        <w:rPr>
          <w:lang w:val="en-US" w:eastAsia="ko-KR"/>
        </w:rPr>
      </w:pPr>
    </w:p>
    <w:p w:rsidR="00EB628E" w:rsidRDefault="00EB628E" w:rsidP="00EB628E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E07222">
        <w:rPr>
          <w:rFonts w:hint="eastAsia"/>
          <w:lang w:val="en-US" w:eastAsia="ko-KR"/>
        </w:rPr>
        <w:t>Reference</w:t>
      </w:r>
    </w:p>
    <w:p w:rsidR="00EB628E" w:rsidRPr="00926C05" w:rsidRDefault="00EB628E" w:rsidP="00152D2D">
      <w:pPr>
        <w:rPr>
          <w:lang w:eastAsia="ko-KR"/>
        </w:rPr>
      </w:pPr>
      <w:r w:rsidRPr="00EB628E">
        <w:rPr>
          <w:rFonts w:hint="eastAsia"/>
          <w:lang w:val="en-US" w:eastAsia="ko-KR"/>
        </w:rPr>
        <w:t>[1] RP-142286, Work Item on</w:t>
      </w:r>
      <w:r>
        <w:rPr>
          <w:rFonts w:hint="eastAsia"/>
          <w:lang w:val="en-US" w:eastAsia="ko-KR"/>
        </w:rPr>
        <w:t xml:space="preserve"> </w:t>
      </w:r>
      <w:r>
        <w:t xml:space="preserve">LTE </w:t>
      </w:r>
      <w:r>
        <w:rPr>
          <w:lang w:eastAsia="zh-CN"/>
        </w:rPr>
        <w:t>Carrier Aggregation Enhancement Beyond 5 Carriers</w:t>
      </w:r>
      <w:bookmarkStart w:id="0" w:name="_GoBack"/>
      <w:bookmarkEnd w:id="0"/>
    </w:p>
    <w:sectPr w:rsidR="00EB628E" w:rsidRPr="00926C05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5B2" w:rsidRDefault="00D735B2">
      <w:pPr>
        <w:spacing w:after="0"/>
      </w:pPr>
      <w:r>
        <w:separator/>
      </w:r>
    </w:p>
  </w:endnote>
  <w:endnote w:type="continuationSeparator" w:id="0">
    <w:p w:rsidR="00D735B2" w:rsidRDefault="00D735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5F" w:rsidRDefault="006D1C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D1C5F" w:rsidRDefault="006D1C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5F" w:rsidRDefault="006D1C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26C05">
      <w:rPr>
        <w:rStyle w:val="PageNumber"/>
      </w:rPr>
      <w:t>2</w:t>
    </w:r>
    <w:r>
      <w:rPr>
        <w:rStyle w:val="PageNumber"/>
      </w:rPr>
      <w:fldChar w:fldCharType="end"/>
    </w:r>
  </w:p>
  <w:p w:rsidR="006D1C5F" w:rsidRDefault="006D1C5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5B2" w:rsidRDefault="00D735B2">
      <w:pPr>
        <w:spacing w:after="0"/>
      </w:pPr>
      <w:r>
        <w:separator/>
      </w:r>
    </w:p>
  </w:footnote>
  <w:footnote w:type="continuationSeparator" w:id="0">
    <w:p w:rsidR="00D735B2" w:rsidRDefault="00D735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24E059D"/>
    <w:multiLevelType w:val="hybridMultilevel"/>
    <w:tmpl w:val="CEF62D7A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F2314AA"/>
    <w:multiLevelType w:val="hybridMultilevel"/>
    <w:tmpl w:val="BDC4ACE8"/>
    <w:lvl w:ilvl="0" w:tplc="33B05B8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240BEF6">
      <w:start w:val="3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C11618B"/>
    <w:multiLevelType w:val="hybridMultilevel"/>
    <w:tmpl w:val="CCA2F13E"/>
    <w:lvl w:ilvl="0" w:tplc="D30609A8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ED216FF"/>
    <w:multiLevelType w:val="hybridMultilevel"/>
    <w:tmpl w:val="12A6B170"/>
    <w:lvl w:ilvl="0" w:tplc="92B8266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6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16"/>
  </w:num>
  <w:num w:numId="10">
    <w:abstractNumId w:val="3"/>
  </w:num>
  <w:num w:numId="11">
    <w:abstractNumId w:val="9"/>
  </w:num>
  <w:num w:numId="12">
    <w:abstractNumId w:val="10"/>
  </w:num>
  <w:num w:numId="13">
    <w:abstractNumId w:val="7"/>
  </w:num>
  <w:num w:numId="14">
    <w:abstractNumId w:val="5"/>
  </w:num>
  <w:num w:numId="15">
    <w:abstractNumId w:val="12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F51"/>
    <w:rsid w:val="000030A8"/>
    <w:rsid w:val="00006AF1"/>
    <w:rsid w:val="00013F60"/>
    <w:rsid w:val="00021997"/>
    <w:rsid w:val="000243C8"/>
    <w:rsid w:val="00030976"/>
    <w:rsid w:val="000316B9"/>
    <w:rsid w:val="00033F67"/>
    <w:rsid w:val="00034174"/>
    <w:rsid w:val="00037218"/>
    <w:rsid w:val="000412FF"/>
    <w:rsid w:val="00041F0F"/>
    <w:rsid w:val="00045BF6"/>
    <w:rsid w:val="00045D88"/>
    <w:rsid w:val="00047ADA"/>
    <w:rsid w:val="00051638"/>
    <w:rsid w:val="00053512"/>
    <w:rsid w:val="00057949"/>
    <w:rsid w:val="00060A94"/>
    <w:rsid w:val="000630F2"/>
    <w:rsid w:val="00063FE5"/>
    <w:rsid w:val="0006430A"/>
    <w:rsid w:val="000669F9"/>
    <w:rsid w:val="0009085A"/>
    <w:rsid w:val="00092DA6"/>
    <w:rsid w:val="00095D2D"/>
    <w:rsid w:val="000A36BE"/>
    <w:rsid w:val="000A6EB4"/>
    <w:rsid w:val="000B1973"/>
    <w:rsid w:val="000B44CB"/>
    <w:rsid w:val="000B51AA"/>
    <w:rsid w:val="000B54AD"/>
    <w:rsid w:val="000C1F3E"/>
    <w:rsid w:val="000C57B2"/>
    <w:rsid w:val="000C6778"/>
    <w:rsid w:val="000C78BC"/>
    <w:rsid w:val="000D4B55"/>
    <w:rsid w:val="000E2682"/>
    <w:rsid w:val="000F5BAB"/>
    <w:rsid w:val="001075F5"/>
    <w:rsid w:val="001141D6"/>
    <w:rsid w:val="0011625A"/>
    <w:rsid w:val="00117306"/>
    <w:rsid w:val="00117688"/>
    <w:rsid w:val="00123651"/>
    <w:rsid w:val="0012675F"/>
    <w:rsid w:val="001325E5"/>
    <w:rsid w:val="00134BF2"/>
    <w:rsid w:val="0013687D"/>
    <w:rsid w:val="00142D42"/>
    <w:rsid w:val="00145768"/>
    <w:rsid w:val="00145A0C"/>
    <w:rsid w:val="00147407"/>
    <w:rsid w:val="00152D2D"/>
    <w:rsid w:val="00155035"/>
    <w:rsid w:val="0016000F"/>
    <w:rsid w:val="00175B5E"/>
    <w:rsid w:val="00176AB4"/>
    <w:rsid w:val="00180176"/>
    <w:rsid w:val="00181233"/>
    <w:rsid w:val="00182E8B"/>
    <w:rsid w:val="00183E91"/>
    <w:rsid w:val="00185AA5"/>
    <w:rsid w:val="00185F32"/>
    <w:rsid w:val="00190885"/>
    <w:rsid w:val="00190BB8"/>
    <w:rsid w:val="00194F2E"/>
    <w:rsid w:val="00196AEC"/>
    <w:rsid w:val="0019714D"/>
    <w:rsid w:val="001A0001"/>
    <w:rsid w:val="001A0BB5"/>
    <w:rsid w:val="001A1173"/>
    <w:rsid w:val="001A15F4"/>
    <w:rsid w:val="001A34EC"/>
    <w:rsid w:val="001A3837"/>
    <w:rsid w:val="001A7D71"/>
    <w:rsid w:val="001B24D4"/>
    <w:rsid w:val="001B4882"/>
    <w:rsid w:val="001B4C03"/>
    <w:rsid w:val="001C0D2C"/>
    <w:rsid w:val="001D321E"/>
    <w:rsid w:val="001D340E"/>
    <w:rsid w:val="001D3C5B"/>
    <w:rsid w:val="001D6538"/>
    <w:rsid w:val="001D7CDB"/>
    <w:rsid w:val="001E0E22"/>
    <w:rsid w:val="001E2292"/>
    <w:rsid w:val="001E426A"/>
    <w:rsid w:val="001E44C7"/>
    <w:rsid w:val="001E5EAD"/>
    <w:rsid w:val="001E7942"/>
    <w:rsid w:val="001F244F"/>
    <w:rsid w:val="001F27FD"/>
    <w:rsid w:val="00203D57"/>
    <w:rsid w:val="002143BA"/>
    <w:rsid w:val="00215190"/>
    <w:rsid w:val="00215D97"/>
    <w:rsid w:val="00220055"/>
    <w:rsid w:val="002201E3"/>
    <w:rsid w:val="00224CA2"/>
    <w:rsid w:val="002275B3"/>
    <w:rsid w:val="0023350D"/>
    <w:rsid w:val="00233DC1"/>
    <w:rsid w:val="002370FA"/>
    <w:rsid w:val="00240EF2"/>
    <w:rsid w:val="00243076"/>
    <w:rsid w:val="00245852"/>
    <w:rsid w:val="0025086C"/>
    <w:rsid w:val="002536D3"/>
    <w:rsid w:val="00275217"/>
    <w:rsid w:val="00275CA6"/>
    <w:rsid w:val="002761EF"/>
    <w:rsid w:val="002775FD"/>
    <w:rsid w:val="00277C25"/>
    <w:rsid w:val="002820FD"/>
    <w:rsid w:val="00283535"/>
    <w:rsid w:val="002853D1"/>
    <w:rsid w:val="00287D14"/>
    <w:rsid w:val="00293E57"/>
    <w:rsid w:val="002951D6"/>
    <w:rsid w:val="00297C52"/>
    <w:rsid w:val="002A0548"/>
    <w:rsid w:val="002A4B45"/>
    <w:rsid w:val="002A5CA9"/>
    <w:rsid w:val="002B0011"/>
    <w:rsid w:val="002B72EC"/>
    <w:rsid w:val="002C648C"/>
    <w:rsid w:val="002D195F"/>
    <w:rsid w:val="002D2D94"/>
    <w:rsid w:val="002D6D92"/>
    <w:rsid w:val="002E2163"/>
    <w:rsid w:val="002E6D63"/>
    <w:rsid w:val="002F13C9"/>
    <w:rsid w:val="002F2235"/>
    <w:rsid w:val="00300418"/>
    <w:rsid w:val="00300787"/>
    <w:rsid w:val="00300EB2"/>
    <w:rsid w:val="00304099"/>
    <w:rsid w:val="00310647"/>
    <w:rsid w:val="00314785"/>
    <w:rsid w:val="00320711"/>
    <w:rsid w:val="00321397"/>
    <w:rsid w:val="0032315B"/>
    <w:rsid w:val="0032435A"/>
    <w:rsid w:val="00326CA0"/>
    <w:rsid w:val="00327E20"/>
    <w:rsid w:val="003328B1"/>
    <w:rsid w:val="00337FBE"/>
    <w:rsid w:val="00342405"/>
    <w:rsid w:val="00343C8F"/>
    <w:rsid w:val="00346E54"/>
    <w:rsid w:val="00347F61"/>
    <w:rsid w:val="00352645"/>
    <w:rsid w:val="00353383"/>
    <w:rsid w:val="00353B92"/>
    <w:rsid w:val="0035779D"/>
    <w:rsid w:val="00361B65"/>
    <w:rsid w:val="00361E2C"/>
    <w:rsid w:val="003628B7"/>
    <w:rsid w:val="003765F8"/>
    <w:rsid w:val="00393F35"/>
    <w:rsid w:val="003A1EDE"/>
    <w:rsid w:val="003A3F10"/>
    <w:rsid w:val="003B6FC2"/>
    <w:rsid w:val="003C4596"/>
    <w:rsid w:val="003C4BB8"/>
    <w:rsid w:val="003C5412"/>
    <w:rsid w:val="003D2CF1"/>
    <w:rsid w:val="003E3086"/>
    <w:rsid w:val="003E3F8B"/>
    <w:rsid w:val="003E763F"/>
    <w:rsid w:val="003F1428"/>
    <w:rsid w:val="003F4C71"/>
    <w:rsid w:val="003F6563"/>
    <w:rsid w:val="003F6BAB"/>
    <w:rsid w:val="004026CF"/>
    <w:rsid w:val="00404342"/>
    <w:rsid w:val="00404B0B"/>
    <w:rsid w:val="00412220"/>
    <w:rsid w:val="00412345"/>
    <w:rsid w:val="00414563"/>
    <w:rsid w:val="004202C6"/>
    <w:rsid w:val="00421BD2"/>
    <w:rsid w:val="00421CC5"/>
    <w:rsid w:val="004252D0"/>
    <w:rsid w:val="004273D7"/>
    <w:rsid w:val="00431C75"/>
    <w:rsid w:val="00434E29"/>
    <w:rsid w:val="00434EAD"/>
    <w:rsid w:val="00440EE6"/>
    <w:rsid w:val="00442D47"/>
    <w:rsid w:val="0044337E"/>
    <w:rsid w:val="00443A0F"/>
    <w:rsid w:val="00444BC1"/>
    <w:rsid w:val="00445834"/>
    <w:rsid w:val="00451FC2"/>
    <w:rsid w:val="00455B54"/>
    <w:rsid w:val="00456982"/>
    <w:rsid w:val="004619D1"/>
    <w:rsid w:val="00463867"/>
    <w:rsid w:val="0046452E"/>
    <w:rsid w:val="00464CBC"/>
    <w:rsid w:val="00466274"/>
    <w:rsid w:val="00472C7A"/>
    <w:rsid w:val="00474A3C"/>
    <w:rsid w:val="00477142"/>
    <w:rsid w:val="0048005E"/>
    <w:rsid w:val="00491677"/>
    <w:rsid w:val="0049297A"/>
    <w:rsid w:val="00493D0C"/>
    <w:rsid w:val="00494320"/>
    <w:rsid w:val="0049715B"/>
    <w:rsid w:val="00497388"/>
    <w:rsid w:val="004A29BE"/>
    <w:rsid w:val="004B2C70"/>
    <w:rsid w:val="004B2CCE"/>
    <w:rsid w:val="004B5118"/>
    <w:rsid w:val="004B568B"/>
    <w:rsid w:val="004B7AAA"/>
    <w:rsid w:val="004C1468"/>
    <w:rsid w:val="004C3881"/>
    <w:rsid w:val="004C5DBA"/>
    <w:rsid w:val="004D2852"/>
    <w:rsid w:val="004D3CE9"/>
    <w:rsid w:val="004E33C8"/>
    <w:rsid w:val="004E3694"/>
    <w:rsid w:val="004E442F"/>
    <w:rsid w:val="004E6E56"/>
    <w:rsid w:val="004E704B"/>
    <w:rsid w:val="004F5DC6"/>
    <w:rsid w:val="005000E9"/>
    <w:rsid w:val="00504C5C"/>
    <w:rsid w:val="0050669A"/>
    <w:rsid w:val="0051116A"/>
    <w:rsid w:val="00512BE5"/>
    <w:rsid w:val="00513578"/>
    <w:rsid w:val="00527842"/>
    <w:rsid w:val="0053010F"/>
    <w:rsid w:val="00530463"/>
    <w:rsid w:val="0053228F"/>
    <w:rsid w:val="005342A0"/>
    <w:rsid w:val="00534BE8"/>
    <w:rsid w:val="00534FF0"/>
    <w:rsid w:val="005353DB"/>
    <w:rsid w:val="005358A4"/>
    <w:rsid w:val="00537315"/>
    <w:rsid w:val="00540089"/>
    <w:rsid w:val="00542CC2"/>
    <w:rsid w:val="00551ACD"/>
    <w:rsid w:val="00561413"/>
    <w:rsid w:val="00572926"/>
    <w:rsid w:val="005746C2"/>
    <w:rsid w:val="005827CC"/>
    <w:rsid w:val="00582BFF"/>
    <w:rsid w:val="00585441"/>
    <w:rsid w:val="00585DEC"/>
    <w:rsid w:val="00586E0F"/>
    <w:rsid w:val="0059003D"/>
    <w:rsid w:val="005915D7"/>
    <w:rsid w:val="00594F66"/>
    <w:rsid w:val="00594FD9"/>
    <w:rsid w:val="00597E69"/>
    <w:rsid w:val="005A089D"/>
    <w:rsid w:val="005A3B41"/>
    <w:rsid w:val="005A5ED1"/>
    <w:rsid w:val="005A6FD5"/>
    <w:rsid w:val="005B161B"/>
    <w:rsid w:val="005B1E63"/>
    <w:rsid w:val="005B35BC"/>
    <w:rsid w:val="005B42A7"/>
    <w:rsid w:val="005B5614"/>
    <w:rsid w:val="005C1471"/>
    <w:rsid w:val="005C2322"/>
    <w:rsid w:val="005C3160"/>
    <w:rsid w:val="005C32A4"/>
    <w:rsid w:val="005C4F97"/>
    <w:rsid w:val="005D0053"/>
    <w:rsid w:val="005D1579"/>
    <w:rsid w:val="005D2904"/>
    <w:rsid w:val="005D41B9"/>
    <w:rsid w:val="005E008C"/>
    <w:rsid w:val="005E3A7C"/>
    <w:rsid w:val="005E7DC1"/>
    <w:rsid w:val="005F1A3F"/>
    <w:rsid w:val="005F502F"/>
    <w:rsid w:val="005F5F74"/>
    <w:rsid w:val="006001BA"/>
    <w:rsid w:val="00600A0F"/>
    <w:rsid w:val="00616F62"/>
    <w:rsid w:val="00617AA3"/>
    <w:rsid w:val="006200E9"/>
    <w:rsid w:val="00622D7C"/>
    <w:rsid w:val="006252B4"/>
    <w:rsid w:val="0063658E"/>
    <w:rsid w:val="0063714E"/>
    <w:rsid w:val="006407FA"/>
    <w:rsid w:val="006447A0"/>
    <w:rsid w:val="00647DCD"/>
    <w:rsid w:val="0065005C"/>
    <w:rsid w:val="00653062"/>
    <w:rsid w:val="006621C6"/>
    <w:rsid w:val="00664E6D"/>
    <w:rsid w:val="00667461"/>
    <w:rsid w:val="00670950"/>
    <w:rsid w:val="00670BA9"/>
    <w:rsid w:val="0067242F"/>
    <w:rsid w:val="006766AE"/>
    <w:rsid w:val="00676A6C"/>
    <w:rsid w:val="00676E54"/>
    <w:rsid w:val="00687C11"/>
    <w:rsid w:val="00690CF7"/>
    <w:rsid w:val="006937D4"/>
    <w:rsid w:val="00693AAD"/>
    <w:rsid w:val="0069552E"/>
    <w:rsid w:val="00695CBF"/>
    <w:rsid w:val="00697558"/>
    <w:rsid w:val="00697C3F"/>
    <w:rsid w:val="00697C97"/>
    <w:rsid w:val="006A27F5"/>
    <w:rsid w:val="006A6716"/>
    <w:rsid w:val="006B0946"/>
    <w:rsid w:val="006B0F44"/>
    <w:rsid w:val="006B14DF"/>
    <w:rsid w:val="006B3C1C"/>
    <w:rsid w:val="006B5BBC"/>
    <w:rsid w:val="006B5CBF"/>
    <w:rsid w:val="006C106D"/>
    <w:rsid w:val="006C1979"/>
    <w:rsid w:val="006D0B87"/>
    <w:rsid w:val="006D1949"/>
    <w:rsid w:val="006D1C5F"/>
    <w:rsid w:val="006E4E45"/>
    <w:rsid w:val="006F149C"/>
    <w:rsid w:val="006F329C"/>
    <w:rsid w:val="006F39F1"/>
    <w:rsid w:val="007022BD"/>
    <w:rsid w:val="00702511"/>
    <w:rsid w:val="007052A0"/>
    <w:rsid w:val="00705324"/>
    <w:rsid w:val="00705518"/>
    <w:rsid w:val="00707163"/>
    <w:rsid w:val="00715177"/>
    <w:rsid w:val="00716ED3"/>
    <w:rsid w:val="00731DD6"/>
    <w:rsid w:val="00733310"/>
    <w:rsid w:val="00734B1E"/>
    <w:rsid w:val="00735493"/>
    <w:rsid w:val="00735D56"/>
    <w:rsid w:val="00736C05"/>
    <w:rsid w:val="00741346"/>
    <w:rsid w:val="00744A34"/>
    <w:rsid w:val="0075125F"/>
    <w:rsid w:val="00752256"/>
    <w:rsid w:val="00752B4E"/>
    <w:rsid w:val="0075549C"/>
    <w:rsid w:val="00762567"/>
    <w:rsid w:val="00763735"/>
    <w:rsid w:val="00763C8D"/>
    <w:rsid w:val="00766259"/>
    <w:rsid w:val="00767785"/>
    <w:rsid w:val="007821D7"/>
    <w:rsid w:val="00782BF6"/>
    <w:rsid w:val="007858D1"/>
    <w:rsid w:val="007860E7"/>
    <w:rsid w:val="00790415"/>
    <w:rsid w:val="007948DD"/>
    <w:rsid w:val="00796999"/>
    <w:rsid w:val="007A012C"/>
    <w:rsid w:val="007A0698"/>
    <w:rsid w:val="007A159C"/>
    <w:rsid w:val="007A617E"/>
    <w:rsid w:val="007A6186"/>
    <w:rsid w:val="007A6FF1"/>
    <w:rsid w:val="007A7E6B"/>
    <w:rsid w:val="007B3B10"/>
    <w:rsid w:val="007C22E6"/>
    <w:rsid w:val="007C5598"/>
    <w:rsid w:val="007D100C"/>
    <w:rsid w:val="007D3930"/>
    <w:rsid w:val="007D3FD6"/>
    <w:rsid w:val="007D4746"/>
    <w:rsid w:val="007D607C"/>
    <w:rsid w:val="007E262F"/>
    <w:rsid w:val="007E4FEF"/>
    <w:rsid w:val="007F2325"/>
    <w:rsid w:val="007F44CB"/>
    <w:rsid w:val="007F4CAD"/>
    <w:rsid w:val="007F6BFA"/>
    <w:rsid w:val="007F6C0F"/>
    <w:rsid w:val="00800CDD"/>
    <w:rsid w:val="00803EA3"/>
    <w:rsid w:val="008057A0"/>
    <w:rsid w:val="008107B5"/>
    <w:rsid w:val="00813800"/>
    <w:rsid w:val="008207DB"/>
    <w:rsid w:val="00824C73"/>
    <w:rsid w:val="008329F7"/>
    <w:rsid w:val="008353C5"/>
    <w:rsid w:val="0084041C"/>
    <w:rsid w:val="00840A73"/>
    <w:rsid w:val="00841480"/>
    <w:rsid w:val="00845467"/>
    <w:rsid w:val="00850946"/>
    <w:rsid w:val="00855D7B"/>
    <w:rsid w:val="0087262A"/>
    <w:rsid w:val="008772A0"/>
    <w:rsid w:val="0088096A"/>
    <w:rsid w:val="00880BBF"/>
    <w:rsid w:val="008815CC"/>
    <w:rsid w:val="008824DB"/>
    <w:rsid w:val="00883E30"/>
    <w:rsid w:val="00887342"/>
    <w:rsid w:val="00890494"/>
    <w:rsid w:val="00893805"/>
    <w:rsid w:val="00894E48"/>
    <w:rsid w:val="00896EEA"/>
    <w:rsid w:val="00897BE3"/>
    <w:rsid w:val="008A1E0D"/>
    <w:rsid w:val="008A3E76"/>
    <w:rsid w:val="008A4029"/>
    <w:rsid w:val="008A7C8A"/>
    <w:rsid w:val="008B1762"/>
    <w:rsid w:val="008B7F73"/>
    <w:rsid w:val="008C31DB"/>
    <w:rsid w:val="008C3759"/>
    <w:rsid w:val="008C4521"/>
    <w:rsid w:val="008C570A"/>
    <w:rsid w:val="008C6439"/>
    <w:rsid w:val="008C68F3"/>
    <w:rsid w:val="008C6DB1"/>
    <w:rsid w:val="008C715E"/>
    <w:rsid w:val="008C7358"/>
    <w:rsid w:val="008D34B3"/>
    <w:rsid w:val="008D5AFF"/>
    <w:rsid w:val="008D5B7C"/>
    <w:rsid w:val="008D6126"/>
    <w:rsid w:val="008E0943"/>
    <w:rsid w:val="008F0889"/>
    <w:rsid w:val="008F0C84"/>
    <w:rsid w:val="008F1BCA"/>
    <w:rsid w:val="009017D1"/>
    <w:rsid w:val="0090480A"/>
    <w:rsid w:val="0091557D"/>
    <w:rsid w:val="00915A00"/>
    <w:rsid w:val="00915DF5"/>
    <w:rsid w:val="0091605A"/>
    <w:rsid w:val="00916589"/>
    <w:rsid w:val="00916C83"/>
    <w:rsid w:val="00923CEB"/>
    <w:rsid w:val="0092683D"/>
    <w:rsid w:val="00926C05"/>
    <w:rsid w:val="00927C62"/>
    <w:rsid w:val="00930F09"/>
    <w:rsid w:val="00932CE4"/>
    <w:rsid w:val="0093543F"/>
    <w:rsid w:val="009370ED"/>
    <w:rsid w:val="009418B7"/>
    <w:rsid w:val="00951844"/>
    <w:rsid w:val="00963ACC"/>
    <w:rsid w:val="009641C2"/>
    <w:rsid w:val="00964482"/>
    <w:rsid w:val="00965FC1"/>
    <w:rsid w:val="00966636"/>
    <w:rsid w:val="00970792"/>
    <w:rsid w:val="00975589"/>
    <w:rsid w:val="00975CE8"/>
    <w:rsid w:val="00980F1E"/>
    <w:rsid w:val="009825A5"/>
    <w:rsid w:val="0098656A"/>
    <w:rsid w:val="009924BE"/>
    <w:rsid w:val="00992696"/>
    <w:rsid w:val="00992CE4"/>
    <w:rsid w:val="00993DB1"/>
    <w:rsid w:val="00997654"/>
    <w:rsid w:val="009A13E0"/>
    <w:rsid w:val="009B0A28"/>
    <w:rsid w:val="009B13D8"/>
    <w:rsid w:val="009B24D4"/>
    <w:rsid w:val="009B2647"/>
    <w:rsid w:val="009B3659"/>
    <w:rsid w:val="009B3A33"/>
    <w:rsid w:val="009B75F8"/>
    <w:rsid w:val="009B7AC5"/>
    <w:rsid w:val="009C37FA"/>
    <w:rsid w:val="009C5640"/>
    <w:rsid w:val="009D180E"/>
    <w:rsid w:val="009D1A6B"/>
    <w:rsid w:val="009D39F4"/>
    <w:rsid w:val="009D7106"/>
    <w:rsid w:val="009E0353"/>
    <w:rsid w:val="009E740F"/>
    <w:rsid w:val="009F372A"/>
    <w:rsid w:val="009F3EAC"/>
    <w:rsid w:val="009F7334"/>
    <w:rsid w:val="00A0059D"/>
    <w:rsid w:val="00A00E6A"/>
    <w:rsid w:val="00A0382C"/>
    <w:rsid w:val="00A049F8"/>
    <w:rsid w:val="00A0649A"/>
    <w:rsid w:val="00A07F76"/>
    <w:rsid w:val="00A1741A"/>
    <w:rsid w:val="00A179CB"/>
    <w:rsid w:val="00A25B76"/>
    <w:rsid w:val="00A25CAB"/>
    <w:rsid w:val="00A3386A"/>
    <w:rsid w:val="00A4048A"/>
    <w:rsid w:val="00A510C2"/>
    <w:rsid w:val="00A51321"/>
    <w:rsid w:val="00A51335"/>
    <w:rsid w:val="00A55A9C"/>
    <w:rsid w:val="00A57B43"/>
    <w:rsid w:val="00A61296"/>
    <w:rsid w:val="00A625DA"/>
    <w:rsid w:val="00A6279B"/>
    <w:rsid w:val="00A62F45"/>
    <w:rsid w:val="00A6302C"/>
    <w:rsid w:val="00A65480"/>
    <w:rsid w:val="00A711BC"/>
    <w:rsid w:val="00A71431"/>
    <w:rsid w:val="00A738CA"/>
    <w:rsid w:val="00A75F2B"/>
    <w:rsid w:val="00A764BE"/>
    <w:rsid w:val="00A81DB7"/>
    <w:rsid w:val="00A83D79"/>
    <w:rsid w:val="00A84887"/>
    <w:rsid w:val="00A85BF2"/>
    <w:rsid w:val="00A92239"/>
    <w:rsid w:val="00A92D10"/>
    <w:rsid w:val="00A92FB4"/>
    <w:rsid w:val="00A961DA"/>
    <w:rsid w:val="00A962EE"/>
    <w:rsid w:val="00A966C6"/>
    <w:rsid w:val="00A97F96"/>
    <w:rsid w:val="00AA5B6F"/>
    <w:rsid w:val="00AA5B9B"/>
    <w:rsid w:val="00AB08DB"/>
    <w:rsid w:val="00AB22F6"/>
    <w:rsid w:val="00AB233E"/>
    <w:rsid w:val="00AB7CA0"/>
    <w:rsid w:val="00AC1F71"/>
    <w:rsid w:val="00AC4BFE"/>
    <w:rsid w:val="00AD2EB1"/>
    <w:rsid w:val="00AD3DCA"/>
    <w:rsid w:val="00AD4F65"/>
    <w:rsid w:val="00AE1E36"/>
    <w:rsid w:val="00AF282A"/>
    <w:rsid w:val="00AF4FC5"/>
    <w:rsid w:val="00AF5607"/>
    <w:rsid w:val="00AF73E7"/>
    <w:rsid w:val="00B01104"/>
    <w:rsid w:val="00B03278"/>
    <w:rsid w:val="00B10169"/>
    <w:rsid w:val="00B109A8"/>
    <w:rsid w:val="00B10A91"/>
    <w:rsid w:val="00B1212D"/>
    <w:rsid w:val="00B21493"/>
    <w:rsid w:val="00B265E3"/>
    <w:rsid w:val="00B272F0"/>
    <w:rsid w:val="00B309AF"/>
    <w:rsid w:val="00B32CAA"/>
    <w:rsid w:val="00B33CE1"/>
    <w:rsid w:val="00B34453"/>
    <w:rsid w:val="00B34761"/>
    <w:rsid w:val="00B34A2B"/>
    <w:rsid w:val="00B416FB"/>
    <w:rsid w:val="00B42BF5"/>
    <w:rsid w:val="00B43531"/>
    <w:rsid w:val="00B44890"/>
    <w:rsid w:val="00B449D9"/>
    <w:rsid w:val="00B50D90"/>
    <w:rsid w:val="00B525DA"/>
    <w:rsid w:val="00B57700"/>
    <w:rsid w:val="00B57E73"/>
    <w:rsid w:val="00B67016"/>
    <w:rsid w:val="00B670DB"/>
    <w:rsid w:val="00B71FC7"/>
    <w:rsid w:val="00B76DD0"/>
    <w:rsid w:val="00B7741C"/>
    <w:rsid w:val="00B83DD1"/>
    <w:rsid w:val="00B91EB8"/>
    <w:rsid w:val="00B960BB"/>
    <w:rsid w:val="00B96FFD"/>
    <w:rsid w:val="00B976AD"/>
    <w:rsid w:val="00BA0621"/>
    <w:rsid w:val="00BA1DCA"/>
    <w:rsid w:val="00BA3476"/>
    <w:rsid w:val="00BA54DB"/>
    <w:rsid w:val="00BA65EF"/>
    <w:rsid w:val="00BB0D2D"/>
    <w:rsid w:val="00BC255F"/>
    <w:rsid w:val="00BC3D88"/>
    <w:rsid w:val="00BC695E"/>
    <w:rsid w:val="00BC7282"/>
    <w:rsid w:val="00BC7F4C"/>
    <w:rsid w:val="00BD3F54"/>
    <w:rsid w:val="00BD60E1"/>
    <w:rsid w:val="00BD7407"/>
    <w:rsid w:val="00BE05F0"/>
    <w:rsid w:val="00BE0984"/>
    <w:rsid w:val="00BE191A"/>
    <w:rsid w:val="00BE2B8C"/>
    <w:rsid w:val="00BE3C51"/>
    <w:rsid w:val="00BE6D3D"/>
    <w:rsid w:val="00C0154B"/>
    <w:rsid w:val="00C0562E"/>
    <w:rsid w:val="00C05FB7"/>
    <w:rsid w:val="00C06484"/>
    <w:rsid w:val="00C072A7"/>
    <w:rsid w:val="00C078B9"/>
    <w:rsid w:val="00C10FE3"/>
    <w:rsid w:val="00C11206"/>
    <w:rsid w:val="00C166E6"/>
    <w:rsid w:val="00C17B07"/>
    <w:rsid w:val="00C21071"/>
    <w:rsid w:val="00C217B2"/>
    <w:rsid w:val="00C26702"/>
    <w:rsid w:val="00C364C7"/>
    <w:rsid w:val="00C420F4"/>
    <w:rsid w:val="00C427F5"/>
    <w:rsid w:val="00C433A8"/>
    <w:rsid w:val="00C440EE"/>
    <w:rsid w:val="00C4560B"/>
    <w:rsid w:val="00C5035D"/>
    <w:rsid w:val="00C51047"/>
    <w:rsid w:val="00C54497"/>
    <w:rsid w:val="00C563DE"/>
    <w:rsid w:val="00C56C8B"/>
    <w:rsid w:val="00C665B1"/>
    <w:rsid w:val="00C66E84"/>
    <w:rsid w:val="00C6797F"/>
    <w:rsid w:val="00C72BF0"/>
    <w:rsid w:val="00C73FA7"/>
    <w:rsid w:val="00C803DC"/>
    <w:rsid w:val="00C81591"/>
    <w:rsid w:val="00C86467"/>
    <w:rsid w:val="00C86BFD"/>
    <w:rsid w:val="00C94ECB"/>
    <w:rsid w:val="00CA0935"/>
    <w:rsid w:val="00CA10DF"/>
    <w:rsid w:val="00CA6E68"/>
    <w:rsid w:val="00CA7AF5"/>
    <w:rsid w:val="00CB3CE4"/>
    <w:rsid w:val="00CB5A21"/>
    <w:rsid w:val="00CB6D44"/>
    <w:rsid w:val="00CC0AA1"/>
    <w:rsid w:val="00CD0467"/>
    <w:rsid w:val="00CD0EDE"/>
    <w:rsid w:val="00CD1E1F"/>
    <w:rsid w:val="00CD41B3"/>
    <w:rsid w:val="00CE4949"/>
    <w:rsid w:val="00CE57FA"/>
    <w:rsid w:val="00CE7E25"/>
    <w:rsid w:val="00CF3821"/>
    <w:rsid w:val="00CF5602"/>
    <w:rsid w:val="00CF65B9"/>
    <w:rsid w:val="00D0135F"/>
    <w:rsid w:val="00D0223A"/>
    <w:rsid w:val="00D03565"/>
    <w:rsid w:val="00D05FB0"/>
    <w:rsid w:val="00D07103"/>
    <w:rsid w:val="00D10864"/>
    <w:rsid w:val="00D11003"/>
    <w:rsid w:val="00D12770"/>
    <w:rsid w:val="00D14F34"/>
    <w:rsid w:val="00D1676B"/>
    <w:rsid w:val="00D203ED"/>
    <w:rsid w:val="00D21FB0"/>
    <w:rsid w:val="00D22D7A"/>
    <w:rsid w:val="00D57676"/>
    <w:rsid w:val="00D609FC"/>
    <w:rsid w:val="00D662AA"/>
    <w:rsid w:val="00D6713B"/>
    <w:rsid w:val="00D67D63"/>
    <w:rsid w:val="00D735B2"/>
    <w:rsid w:val="00D80F91"/>
    <w:rsid w:val="00D844FB"/>
    <w:rsid w:val="00D84AFD"/>
    <w:rsid w:val="00D8739A"/>
    <w:rsid w:val="00D912F7"/>
    <w:rsid w:val="00D950A4"/>
    <w:rsid w:val="00D97798"/>
    <w:rsid w:val="00DA193F"/>
    <w:rsid w:val="00DA19C4"/>
    <w:rsid w:val="00DA3F67"/>
    <w:rsid w:val="00DB1DFF"/>
    <w:rsid w:val="00DB3680"/>
    <w:rsid w:val="00DC470C"/>
    <w:rsid w:val="00DC4B9A"/>
    <w:rsid w:val="00DC71CF"/>
    <w:rsid w:val="00DC73E6"/>
    <w:rsid w:val="00DD076E"/>
    <w:rsid w:val="00DF490A"/>
    <w:rsid w:val="00DF6978"/>
    <w:rsid w:val="00E02A91"/>
    <w:rsid w:val="00E05F60"/>
    <w:rsid w:val="00E0632B"/>
    <w:rsid w:val="00E07222"/>
    <w:rsid w:val="00E132A2"/>
    <w:rsid w:val="00E1461F"/>
    <w:rsid w:val="00E17353"/>
    <w:rsid w:val="00E20F84"/>
    <w:rsid w:val="00E2289A"/>
    <w:rsid w:val="00E23611"/>
    <w:rsid w:val="00E23E93"/>
    <w:rsid w:val="00E26A5A"/>
    <w:rsid w:val="00E4001B"/>
    <w:rsid w:val="00E430D0"/>
    <w:rsid w:val="00E44A86"/>
    <w:rsid w:val="00E45B5E"/>
    <w:rsid w:val="00E45C0C"/>
    <w:rsid w:val="00E50C6A"/>
    <w:rsid w:val="00E5102A"/>
    <w:rsid w:val="00E510CF"/>
    <w:rsid w:val="00E54C07"/>
    <w:rsid w:val="00E65A2C"/>
    <w:rsid w:val="00E66AB1"/>
    <w:rsid w:val="00E7202D"/>
    <w:rsid w:val="00E73B81"/>
    <w:rsid w:val="00E8187E"/>
    <w:rsid w:val="00E8389F"/>
    <w:rsid w:val="00E83DD8"/>
    <w:rsid w:val="00E85341"/>
    <w:rsid w:val="00E853C8"/>
    <w:rsid w:val="00E8761C"/>
    <w:rsid w:val="00E9110A"/>
    <w:rsid w:val="00E9538A"/>
    <w:rsid w:val="00EA45FF"/>
    <w:rsid w:val="00EB2936"/>
    <w:rsid w:val="00EB628E"/>
    <w:rsid w:val="00EC0E86"/>
    <w:rsid w:val="00EC1209"/>
    <w:rsid w:val="00EC1F51"/>
    <w:rsid w:val="00EC5074"/>
    <w:rsid w:val="00ED04B0"/>
    <w:rsid w:val="00ED1C0D"/>
    <w:rsid w:val="00ED207A"/>
    <w:rsid w:val="00EE043A"/>
    <w:rsid w:val="00EE2926"/>
    <w:rsid w:val="00EE6F6B"/>
    <w:rsid w:val="00EE7C0C"/>
    <w:rsid w:val="00EF14FD"/>
    <w:rsid w:val="00EF2C88"/>
    <w:rsid w:val="00EF3653"/>
    <w:rsid w:val="00EF51BE"/>
    <w:rsid w:val="00EF6CAC"/>
    <w:rsid w:val="00F072A0"/>
    <w:rsid w:val="00F11D90"/>
    <w:rsid w:val="00F130CF"/>
    <w:rsid w:val="00F133E8"/>
    <w:rsid w:val="00F136B6"/>
    <w:rsid w:val="00F14549"/>
    <w:rsid w:val="00F24641"/>
    <w:rsid w:val="00F24A28"/>
    <w:rsid w:val="00F31A1C"/>
    <w:rsid w:val="00F323D4"/>
    <w:rsid w:val="00F34D9A"/>
    <w:rsid w:val="00F34E0E"/>
    <w:rsid w:val="00F353EE"/>
    <w:rsid w:val="00F35E06"/>
    <w:rsid w:val="00F36DB7"/>
    <w:rsid w:val="00F420F1"/>
    <w:rsid w:val="00F470F8"/>
    <w:rsid w:val="00F541E2"/>
    <w:rsid w:val="00F64320"/>
    <w:rsid w:val="00F66648"/>
    <w:rsid w:val="00F7289A"/>
    <w:rsid w:val="00F730A5"/>
    <w:rsid w:val="00F742B9"/>
    <w:rsid w:val="00F85566"/>
    <w:rsid w:val="00F862D2"/>
    <w:rsid w:val="00F87669"/>
    <w:rsid w:val="00F92BF4"/>
    <w:rsid w:val="00F93559"/>
    <w:rsid w:val="00F9481C"/>
    <w:rsid w:val="00F95C1D"/>
    <w:rsid w:val="00FA4D7E"/>
    <w:rsid w:val="00FB2E67"/>
    <w:rsid w:val="00FB6BB3"/>
    <w:rsid w:val="00FC0715"/>
    <w:rsid w:val="00FC1493"/>
    <w:rsid w:val="00FD24B6"/>
    <w:rsid w:val="00FD6CD1"/>
    <w:rsid w:val="00FE3AC1"/>
    <w:rsid w:val="00FE4E63"/>
    <w:rsid w:val="00FE59D1"/>
    <w:rsid w:val="00FE5B6B"/>
    <w:rsid w:val="00FE6A03"/>
    <w:rsid w:val="00FF11E6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241249-C9DC-4839-84E4-8EBB4EB1D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87D"/>
    <w:pPr>
      <w:spacing w:after="18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13687D"/>
    <w:pPr>
      <w:keepLines/>
      <w:spacing w:before="120"/>
      <w:ind w:left="1134" w:hanging="1134"/>
      <w:outlineLvl w:val="2"/>
    </w:pPr>
    <w:rPr>
      <w:rFonts w:ascii="Arial" w:eastAsia="Batang" w:hAnsi="Arial" w:cs="Times New Roman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3687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13687D"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paragraph" w:styleId="Footer">
    <w:name w:val="footer"/>
    <w:basedOn w:val="Header"/>
    <w:link w:val="Footer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13687D"/>
    <w:rPr>
      <w:rFonts w:ascii="Arial" w:eastAsia="Batang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3687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0059D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Malgun Gothic" w:hAnsi="Times New Roman" w:cs="Times New Roman"/>
      <w:kern w:val="0"/>
      <w:szCs w:val="20"/>
      <w:lang w:val="en-GB"/>
    </w:rPr>
  </w:style>
  <w:style w:type="paragraph" w:customStyle="1" w:styleId="B4">
    <w:name w:val="B4"/>
    <w:basedOn w:val="List4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">
    <w:name w:val="List"/>
    <w:basedOn w:val="Normal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List5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5">
    <w:name w:val="List 5"/>
    <w:basedOn w:val="Normal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Normal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Malgun Gothic" w:hAnsi="Times New Roman" w:cs="Times New Roman"/>
      <w:kern w:val="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0EE6"/>
    <w:rPr>
      <w:rFonts w:ascii="Times New Roman" w:eastAsia="Batang" w:hAnsi="Times New Roman" w:cs="Times New Roman"/>
      <w:b/>
      <w:bCs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C45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1835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SunYoung LEE</cp:lastModifiedBy>
  <cp:revision>214</cp:revision>
  <dcterms:created xsi:type="dcterms:W3CDTF">2015-04-06T05:34:00Z</dcterms:created>
  <dcterms:modified xsi:type="dcterms:W3CDTF">2015-04-11T04:30:00Z</dcterms:modified>
</cp:coreProperties>
</file>